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0AEA0" w14:textId="044AEBB2" w:rsidR="00126B11" w:rsidRPr="00C51E02" w:rsidRDefault="00750051" w:rsidP="00126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</w:rPr>
      </w:pPr>
      <w:r w:rsidRPr="00C51E02">
        <w:rPr>
          <w:rFonts w:ascii="Times New Roman" w:eastAsiaTheme="minorHAnsi" w:hAnsi="Times New Roman"/>
          <w:color w:val="000000" w:themeColor="text1"/>
        </w:rPr>
        <w:t xml:space="preserve">Załącznik </w:t>
      </w:r>
      <w:r w:rsidRPr="00C51E02">
        <w:rPr>
          <w:rFonts w:ascii="Times New Roman" w:eastAsiaTheme="minorHAnsi" w:hAnsi="Times New Roman"/>
          <w:color w:val="000000" w:themeColor="text1"/>
        </w:rPr>
        <w:fldChar w:fldCharType="begin"/>
      </w:r>
      <w:r w:rsidRPr="00C51E02">
        <w:rPr>
          <w:rFonts w:ascii="Times New Roman" w:eastAsiaTheme="minorHAnsi" w:hAnsi="Times New Roman"/>
          <w:color w:val="000000" w:themeColor="text1"/>
        </w:rPr>
        <w:instrText xml:space="preserve"> FILENAME   \* MERGEFORMAT </w:instrText>
      </w:r>
      <w:r w:rsidRPr="00C51E02">
        <w:rPr>
          <w:rFonts w:ascii="Times New Roman" w:eastAsiaTheme="minorHAnsi" w:hAnsi="Times New Roman"/>
          <w:color w:val="000000" w:themeColor="text1"/>
        </w:rPr>
        <w:fldChar w:fldCharType="separate"/>
      </w:r>
      <w:r w:rsidRPr="00C51E02">
        <w:rPr>
          <w:rFonts w:ascii="Times New Roman" w:eastAsiaTheme="minorHAnsi" w:hAnsi="Times New Roman"/>
          <w:color w:val="000000" w:themeColor="text1"/>
        </w:rPr>
        <w:t>B.40.</w:t>
      </w:r>
      <w:r w:rsidRPr="00C51E02">
        <w:rPr>
          <w:rFonts w:ascii="Times New Roman" w:eastAsiaTheme="minorHAnsi" w:hAnsi="Times New Roman"/>
          <w:color w:val="000000" w:themeColor="text1"/>
        </w:rPr>
        <w:fldChar w:fldCharType="end"/>
      </w:r>
    </w:p>
    <w:p w14:paraId="60EC1374" w14:textId="032B2896" w:rsidR="00750051" w:rsidRPr="00C51E02" w:rsidRDefault="00750051" w:rsidP="00126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</w:rPr>
      </w:pPr>
      <w:r w:rsidRPr="00C51E02">
        <w:rPr>
          <w:rFonts w:ascii="Times New Roman" w:eastAsiaTheme="minorHAnsi" w:hAnsi="Times New Roman"/>
          <w:color w:val="000000" w:themeColor="text1"/>
        </w:rPr>
        <w:fldChar w:fldCharType="begin"/>
      </w:r>
      <w:r w:rsidRPr="00C51E02">
        <w:rPr>
          <w:rFonts w:ascii="Times New Roman" w:eastAsiaTheme="minorHAnsi" w:hAnsi="Times New Roman"/>
          <w:color w:val="000000" w:themeColor="text1"/>
        </w:rPr>
        <w:instrText xml:space="preserve"> FILENAME   \* MERGEFORMAT </w:instrText>
      </w:r>
      <w:r w:rsidRPr="00C51E02">
        <w:rPr>
          <w:rFonts w:ascii="Times New Roman" w:eastAsiaTheme="minorHAnsi" w:hAnsi="Times New Roman"/>
          <w:color w:val="000000" w:themeColor="text1"/>
        </w:rPr>
        <w:fldChar w:fldCharType="end"/>
      </w:r>
    </w:p>
    <w:p w14:paraId="5BB32927" w14:textId="155159B3" w:rsidR="00750051" w:rsidRPr="00C51E02" w:rsidRDefault="00750051" w:rsidP="00126B11">
      <w:pPr>
        <w:spacing w:after="240" w:line="240" w:lineRule="auto"/>
        <w:jc w:val="both"/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</w:pPr>
      <w:r w:rsidRPr="00C51E02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PROFILAKTYKA ZAKAŻEŃ WIRUSEM RS (ICD-10</w:t>
      </w:r>
      <w:r w:rsidR="00126B11" w:rsidRPr="00C51E02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:</w:t>
      </w:r>
      <w:r w:rsidRPr="00C51E02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 xml:space="preserve"> P07.2, P07.3, P27.1, P07.0, P07.1, Q20-Q24)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0"/>
        <w:gridCol w:w="4222"/>
        <w:gridCol w:w="4226"/>
      </w:tblGrid>
      <w:tr w:rsidR="00750051" w:rsidRPr="00C51E02" w14:paraId="4A626C86" w14:textId="77777777" w:rsidTr="00C51E02">
        <w:trPr>
          <w:trHeight w:val="567"/>
        </w:trPr>
        <w:tc>
          <w:tcPr>
            <w:tcW w:w="5000" w:type="pct"/>
            <w:gridSpan w:val="3"/>
            <w:vAlign w:val="center"/>
          </w:tcPr>
          <w:p w14:paraId="1752465F" w14:textId="77777777" w:rsidR="00750051" w:rsidRPr="00C51E02" w:rsidRDefault="00750051" w:rsidP="00126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750051" w:rsidRPr="00C51E02" w14:paraId="6E861791" w14:textId="77777777" w:rsidTr="00C51E02">
        <w:trPr>
          <w:trHeight w:val="567"/>
        </w:trPr>
        <w:tc>
          <w:tcPr>
            <w:tcW w:w="2255" w:type="pct"/>
            <w:vAlign w:val="center"/>
          </w:tcPr>
          <w:p w14:paraId="3CEA2B7E" w14:textId="77777777" w:rsidR="00750051" w:rsidRPr="00C51E02" w:rsidRDefault="00750051" w:rsidP="00126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72" w:type="pct"/>
            <w:vAlign w:val="center"/>
          </w:tcPr>
          <w:p w14:paraId="76E280E0" w14:textId="4C9A147B" w:rsidR="00750051" w:rsidRPr="00C51E02" w:rsidRDefault="00750051" w:rsidP="00126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SCHEMAT DAWKOWANIA LEKÓW </w:t>
            </w:r>
            <w:r w:rsidR="002B25D8"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1373" w:type="pct"/>
            <w:vAlign w:val="center"/>
          </w:tcPr>
          <w:p w14:paraId="73ED37E4" w14:textId="761EE44C" w:rsidR="00750051" w:rsidRPr="00C51E02" w:rsidRDefault="00750051" w:rsidP="00A40451">
            <w:pPr>
              <w:autoSpaceDE w:val="0"/>
              <w:autoSpaceDN w:val="0"/>
              <w:adjustRightInd w:val="0"/>
              <w:spacing w:after="0" w:line="240" w:lineRule="auto"/>
              <w:ind w:righ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BADANIA DIAGNOSTYCZNE WYKONYWANE</w:t>
            </w:r>
            <w:r w:rsidR="002B25D8"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W RAMACH PROGRAMU</w:t>
            </w:r>
          </w:p>
        </w:tc>
      </w:tr>
      <w:tr w:rsidR="00750051" w:rsidRPr="00A416A6" w14:paraId="29BCD3C7" w14:textId="77777777" w:rsidTr="00C51E02">
        <w:trPr>
          <w:trHeight w:val="20"/>
        </w:trPr>
        <w:tc>
          <w:tcPr>
            <w:tcW w:w="2255" w:type="pct"/>
          </w:tcPr>
          <w:p w14:paraId="29430BB1" w14:textId="77777777" w:rsidR="00750051" w:rsidRPr="00C51E02" w:rsidRDefault="00750051" w:rsidP="00A416A6">
            <w:pPr>
              <w:autoSpaceDE w:val="0"/>
              <w:autoSpaceDN w:val="0"/>
              <w:adjustRightInd w:val="0"/>
              <w:spacing w:before="120" w:after="60"/>
              <w:ind w:right="6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Kwalifikację do udziału w programie zatwierdza konsultant wojewódzki w dziedzinie neonatologii lub kardiologii dziecięcej w porozumieniu z odpowiednim konsultantem krajowym na podstawie dokumentacji z ośrodka.</w:t>
            </w:r>
          </w:p>
          <w:p w14:paraId="0C243C14" w14:textId="7FA305AC" w:rsidR="00750051" w:rsidRPr="00C51E02" w:rsidRDefault="00750051" w:rsidP="00A416A6">
            <w:pPr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Program polega na podaniu maksymalnie 5 dawek paliwizumabu (w odstępach miesięcznych) w sezonie zakażeń wirusem RS, trwającym od 1 </w:t>
            </w:r>
            <w:r w:rsidR="00B05317" w:rsidRPr="00C51E02">
              <w:rPr>
                <w:rFonts w:ascii="Times New Roman" w:hAnsi="Times New Roman"/>
                <w:sz w:val="20"/>
                <w:szCs w:val="20"/>
              </w:rPr>
              <w:t>września</w:t>
            </w:r>
            <w:r w:rsidRPr="00C51E02">
              <w:rPr>
                <w:rFonts w:ascii="Times New Roman" w:hAnsi="Times New Roman"/>
                <w:sz w:val="20"/>
                <w:szCs w:val="20"/>
              </w:rPr>
              <w:t xml:space="preserve"> do 30 kwietnia.</w:t>
            </w:r>
          </w:p>
          <w:p w14:paraId="65217646" w14:textId="1BD84F28" w:rsidR="00750051" w:rsidRDefault="00750051" w:rsidP="00A416A6">
            <w:pPr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Immunizację paliwizumabem przeprowadza się maksymalnie w dwóch następujących po sobie sezonach immunizacji zgodnie z kryteriami poniżej</w:t>
            </w:r>
            <w:r w:rsidR="00A416A6" w:rsidRPr="00C51E0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461818E" w14:textId="77777777" w:rsidR="00C51E02" w:rsidRPr="00C51E02" w:rsidRDefault="00C51E02" w:rsidP="00A416A6">
            <w:pPr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FC33F4F" w14:textId="16B79CC3" w:rsidR="00750051" w:rsidRPr="00C51E02" w:rsidRDefault="00750051" w:rsidP="00F4302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Kryteria kwalifikacji do leczenia paliwizumabem</w:t>
            </w:r>
          </w:p>
          <w:p w14:paraId="10609869" w14:textId="441BC38C" w:rsidR="00750051" w:rsidRPr="00C51E02" w:rsidRDefault="00A416A6" w:rsidP="00F43021">
            <w:pPr>
              <w:numPr>
                <w:ilvl w:val="3"/>
                <w:numId w:val="11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d</w:t>
            </w:r>
            <w:r w:rsidR="00750051" w:rsidRPr="00C51E02">
              <w:rPr>
                <w:rFonts w:ascii="Times New Roman" w:hAnsi="Times New Roman"/>
                <w:sz w:val="20"/>
                <w:szCs w:val="20"/>
              </w:rPr>
              <w:t>o programu kwalifikowani są świadczeniobiorcy, którzy:</w:t>
            </w:r>
          </w:p>
          <w:p w14:paraId="64C3BE66" w14:textId="50E8EE00" w:rsidR="00750051" w:rsidRPr="00C51E02" w:rsidRDefault="00750051" w:rsidP="00F43021">
            <w:pPr>
              <w:numPr>
                <w:ilvl w:val="4"/>
                <w:numId w:val="11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w momencie rozpoczęcia immunizacji nie ukończyli pierwszego roku życia i urodzili się w wieku ciążowym ≤ 28 tygodni</w:t>
            </w:r>
            <w:r w:rsidR="00B10F73" w:rsidRPr="00C51E0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46C291E" w14:textId="1E001F38" w:rsidR="00750051" w:rsidRPr="00C51E02" w:rsidRDefault="00750051" w:rsidP="00F43021">
            <w:pPr>
              <w:numPr>
                <w:ilvl w:val="4"/>
                <w:numId w:val="11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 xml:space="preserve">w momencie rozpoczęcia immunizacji nie ukończyli drugiego roku życia </w:t>
            </w:r>
            <w:r w:rsidR="000F7AAB" w:rsidRPr="00C51E02">
              <w:rPr>
                <w:rFonts w:ascii="Times New Roman" w:hAnsi="Times New Roman"/>
                <w:sz w:val="20"/>
                <w:szCs w:val="20"/>
              </w:rPr>
              <w:t xml:space="preserve">– pacjenci </w:t>
            </w:r>
            <w:r w:rsidRPr="00C51E02">
              <w:rPr>
                <w:rFonts w:ascii="Times New Roman" w:hAnsi="Times New Roman"/>
                <w:sz w:val="20"/>
                <w:szCs w:val="20"/>
              </w:rPr>
              <w:t>z dysplazją oskrzelowo-płucną</w:t>
            </w:r>
            <w:r w:rsidR="00B10F73" w:rsidRPr="00C51E0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4724A7B" w14:textId="0B068E63" w:rsidR="00750051" w:rsidRPr="00C51E02" w:rsidRDefault="00750051" w:rsidP="00F43021">
            <w:pPr>
              <w:numPr>
                <w:ilvl w:val="4"/>
                <w:numId w:val="11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 xml:space="preserve">w momencie rozpoczęcia immunizacji nie ukończyli drugiego roku życia </w:t>
            </w:r>
            <w:r w:rsidR="000F7AAB" w:rsidRPr="00C51E02">
              <w:rPr>
                <w:rFonts w:ascii="Times New Roman" w:hAnsi="Times New Roman"/>
                <w:sz w:val="20"/>
                <w:szCs w:val="20"/>
              </w:rPr>
              <w:t xml:space="preserve">– pacjenci </w:t>
            </w:r>
            <w:r w:rsidRPr="00C51E02">
              <w:rPr>
                <w:rFonts w:ascii="Times New Roman" w:hAnsi="Times New Roman"/>
                <w:sz w:val="20"/>
                <w:szCs w:val="20"/>
              </w:rPr>
              <w:t>z hemodynamicznie istotną wada serca</w:t>
            </w:r>
            <w:r w:rsidR="00B10F73" w:rsidRPr="00C51E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1E02">
              <w:rPr>
                <w:rFonts w:ascii="Times New Roman" w:hAnsi="Times New Roman"/>
                <w:sz w:val="20"/>
                <w:szCs w:val="20"/>
              </w:rPr>
              <w:t>z:</w:t>
            </w:r>
          </w:p>
          <w:p w14:paraId="2DD31266" w14:textId="77777777" w:rsidR="002B25D8" w:rsidRPr="00C51E02" w:rsidRDefault="00750051" w:rsidP="00F43021">
            <w:pPr>
              <w:pStyle w:val="Akapitzlist"/>
              <w:numPr>
                <w:ilvl w:val="5"/>
                <w:numId w:val="11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jawną niewydolnością serca, utrzymującą się pomimo leczenia farmakologicznego</w:t>
            </w:r>
          </w:p>
          <w:p w14:paraId="2F9FF759" w14:textId="2D4792AF" w:rsidR="00750051" w:rsidRPr="00C51E02" w:rsidRDefault="00750051" w:rsidP="00A416A6">
            <w:pPr>
              <w:pStyle w:val="Akapitzlist"/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left="680"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7E694CFE" w14:textId="77777777" w:rsidR="002B25D8" w:rsidRPr="00C51E02" w:rsidRDefault="00750051" w:rsidP="00F43021">
            <w:pPr>
              <w:pStyle w:val="Akapitzlist"/>
              <w:numPr>
                <w:ilvl w:val="5"/>
                <w:numId w:val="11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umiarkowanym lub ciężkim wtórnym nadciśnieniem płucnym</w:t>
            </w:r>
          </w:p>
          <w:p w14:paraId="26E0E0AF" w14:textId="197BD0C3" w:rsidR="00750051" w:rsidRPr="00C51E02" w:rsidRDefault="00A416A6" w:rsidP="00A416A6">
            <w:pPr>
              <w:pStyle w:val="Akapitzlist"/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left="680"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l</w:t>
            </w:r>
            <w:r w:rsidR="00750051" w:rsidRPr="00C51E02">
              <w:rPr>
                <w:rFonts w:ascii="Times New Roman" w:hAnsi="Times New Roman"/>
                <w:sz w:val="20"/>
                <w:szCs w:val="20"/>
              </w:rPr>
              <w:t>ub</w:t>
            </w:r>
          </w:p>
          <w:p w14:paraId="1C185AC4" w14:textId="2720B564" w:rsidR="00750051" w:rsidRPr="00C51E02" w:rsidRDefault="00750051" w:rsidP="00F43021">
            <w:pPr>
              <w:pStyle w:val="Akapitzlist"/>
              <w:numPr>
                <w:ilvl w:val="5"/>
                <w:numId w:val="11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lastRenderedPageBreak/>
              <w:t>siniczymi wadami serca, z przezskórnym utlenowaniem krwi tętniczej utrzymującej się &lt;90%</w:t>
            </w:r>
            <w:r w:rsidR="002B25D8" w:rsidRPr="00C51E0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D5EC5BA" w14:textId="77777777" w:rsidR="00750051" w:rsidRPr="00C51E02" w:rsidRDefault="00750051" w:rsidP="00F43021">
            <w:pPr>
              <w:numPr>
                <w:ilvl w:val="4"/>
                <w:numId w:val="11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w momencie rozpoczęcia immunizacji nie ukończyli szóstego miesiąca życia i spełniają kryterium:</w:t>
            </w:r>
          </w:p>
          <w:p w14:paraId="6891113A" w14:textId="159115DA" w:rsidR="002B25D8" w:rsidRPr="00C51E02" w:rsidRDefault="00750051" w:rsidP="00F43021">
            <w:pPr>
              <w:pStyle w:val="Akapitzlist"/>
              <w:numPr>
                <w:ilvl w:val="5"/>
                <w:numId w:val="11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 xml:space="preserve">wiek ciążowy 29 - 32 tygodni </w:t>
            </w:r>
          </w:p>
          <w:p w14:paraId="67D45712" w14:textId="537C7493" w:rsidR="00750051" w:rsidRPr="00C51E02" w:rsidRDefault="00750051" w:rsidP="00A416A6">
            <w:pPr>
              <w:pStyle w:val="Akapitzlist"/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left="680"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581D39F6" w14:textId="328E06EE" w:rsidR="00750051" w:rsidRPr="00C51E02" w:rsidRDefault="00750051" w:rsidP="00F43021">
            <w:pPr>
              <w:pStyle w:val="Akapitzlist"/>
              <w:numPr>
                <w:ilvl w:val="5"/>
                <w:numId w:val="11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wiek ciążowy ≤ 35 tygodni oraz mała masa urodzeniowa równa lub poniżej 1500 g</w:t>
            </w:r>
            <w:r w:rsidR="00B10F73" w:rsidRPr="00C51E0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560A9EC" w14:textId="5178B10C" w:rsidR="00750051" w:rsidRPr="00C51E02" w:rsidRDefault="00A416A6" w:rsidP="00F43021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/>
              <w:ind w:right="7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j</w:t>
            </w:r>
            <w:r w:rsidR="00750051" w:rsidRPr="00C51E02">
              <w:rPr>
                <w:rFonts w:ascii="Times New Roman" w:hAnsi="Times New Roman"/>
                <w:sz w:val="20"/>
                <w:szCs w:val="20"/>
              </w:rPr>
              <w:t>eżeli świadczeniobiorca, który spełnia opisane powyżej kryteria kwalifikacji do programu, urodzi się w trakcie trwania sezonu zakażeń wirusem RS, wówczas otrzymuje od 3 do 5 dawek paliwizumabu, jednak nie mniej niż 3 dawki</w:t>
            </w:r>
            <w:r w:rsidRPr="00C51E02">
              <w:rPr>
                <w:rFonts w:ascii="Times New Roman" w:hAnsi="Times New Roman"/>
                <w:sz w:val="20"/>
                <w:szCs w:val="20"/>
              </w:rPr>
              <w:t>; l</w:t>
            </w:r>
            <w:r w:rsidR="00750051" w:rsidRPr="00C51E02">
              <w:rPr>
                <w:rFonts w:ascii="Times New Roman" w:hAnsi="Times New Roman"/>
                <w:sz w:val="20"/>
                <w:szCs w:val="20"/>
              </w:rPr>
              <w:t>iczba podanych dawek jest uzależniona od okresu pozostałego od dnia urodzenia do zakończenia sezonu zakażeń</w:t>
            </w:r>
            <w:r w:rsidRPr="00C51E0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A8B3036" w14:textId="3F8305CB" w:rsidR="00BC524B" w:rsidRPr="00C51E02" w:rsidRDefault="00A416A6" w:rsidP="00F43021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/>
              <w:ind w:right="7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d</w:t>
            </w:r>
            <w:r w:rsidR="00BC524B" w:rsidRPr="00C51E02">
              <w:rPr>
                <w:rFonts w:ascii="Times New Roman" w:hAnsi="Times New Roman"/>
                <w:sz w:val="20"/>
                <w:szCs w:val="20"/>
              </w:rPr>
              <w:t>o programu lekowego kwalifikowani są również pacjenci, którym podano lek zawierający substancją czynną finansowaną w programie lekowym w ramach innego sposobu finansowania terapii, w celu zapewnienia kontynuacji immunizacji, o ile na dzień podania pierwszej dawki spełnili stosowne kryteria włączenia oraz nie mają przeciwwskazań do immunizacji oraz nie spełniają kryteriów wyłączenia wskazanych w punkcie 3., a łączny czas leczenia od rozpoczęcia terapii jest nie dłuższy niż wskazano w punkcie 2.</w:t>
            </w:r>
          </w:p>
          <w:p w14:paraId="0BD49F10" w14:textId="77777777" w:rsidR="002B25D8" w:rsidRPr="00C51E02" w:rsidRDefault="002B25D8" w:rsidP="00F43021">
            <w:pPr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8637ADC" w14:textId="10DB51E9" w:rsidR="00750051" w:rsidRPr="00C51E02" w:rsidRDefault="00750051" w:rsidP="00F4302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6B6CFF45" w14:textId="5DC7EBA4" w:rsidR="00750051" w:rsidRPr="00C51E02" w:rsidRDefault="00750051" w:rsidP="00A416A6">
            <w:pPr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 xml:space="preserve">Lek podawany jest podczas sezonu zakażeń wirusem RS (od 1 </w:t>
            </w:r>
            <w:r w:rsidR="00852EE1" w:rsidRPr="00C51E02">
              <w:rPr>
                <w:rFonts w:ascii="Times New Roman" w:hAnsi="Times New Roman"/>
                <w:sz w:val="20"/>
                <w:szCs w:val="20"/>
              </w:rPr>
              <w:t>września</w:t>
            </w:r>
            <w:r w:rsidRPr="00C51E02">
              <w:rPr>
                <w:rFonts w:ascii="Times New Roman" w:hAnsi="Times New Roman"/>
                <w:sz w:val="20"/>
                <w:szCs w:val="20"/>
              </w:rPr>
              <w:t xml:space="preserve"> do 30 kwietnia) co miesiąc </w:t>
            </w:r>
            <w:r w:rsidR="000F7AAB" w:rsidRPr="00C51E02">
              <w:rPr>
                <w:rFonts w:ascii="Times New Roman" w:hAnsi="Times New Roman"/>
                <w:sz w:val="20"/>
                <w:szCs w:val="20"/>
              </w:rPr>
              <w:t>–</w:t>
            </w:r>
            <w:r w:rsidRPr="00C51E02">
              <w:rPr>
                <w:rFonts w:ascii="Times New Roman" w:hAnsi="Times New Roman"/>
                <w:sz w:val="20"/>
                <w:szCs w:val="20"/>
              </w:rPr>
              <w:t xml:space="preserve"> 5 razy, a w sytuacji opisanej w ust.1 pkt 2 – od 3 do 5 razy.</w:t>
            </w:r>
          </w:p>
          <w:p w14:paraId="16A855FF" w14:textId="77777777" w:rsidR="002B25D8" w:rsidRPr="00C51E02" w:rsidRDefault="002B25D8" w:rsidP="00F43021">
            <w:pPr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F89E07E" w14:textId="57D833F2" w:rsidR="00750051" w:rsidRPr="00C51E02" w:rsidRDefault="00750051" w:rsidP="00F4302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Kryteria wyłączenia z programu</w:t>
            </w:r>
          </w:p>
          <w:p w14:paraId="7776274C" w14:textId="77777777" w:rsidR="00750051" w:rsidRPr="00C51E02" w:rsidRDefault="00750051" w:rsidP="00F43021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objawy nadwrażliwości na paliwizumab lub jakikolwiek ze składników występujących w preparacie;</w:t>
            </w:r>
          </w:p>
          <w:p w14:paraId="0ACE9389" w14:textId="77777777" w:rsidR="00750051" w:rsidRPr="00C51E02" w:rsidRDefault="00750051" w:rsidP="00F43021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przebycie reakcji nadwrażliwości na podaż innych przeciwciał;</w:t>
            </w:r>
          </w:p>
          <w:p w14:paraId="370B884C" w14:textId="77777777" w:rsidR="00750051" w:rsidRPr="00C51E02" w:rsidRDefault="00750051" w:rsidP="00F43021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lastRenderedPageBreak/>
              <w:t>brak zgody przedstawiciela ustawowego pacjenta.</w:t>
            </w:r>
          </w:p>
          <w:p w14:paraId="11FC0D0B" w14:textId="20820521" w:rsidR="00A416A6" w:rsidRPr="00C51E02" w:rsidRDefault="00A416A6" w:rsidP="00A416A6">
            <w:pPr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</w:rPr>
            </w:pPr>
          </w:p>
        </w:tc>
        <w:tc>
          <w:tcPr>
            <w:tcW w:w="1372" w:type="pct"/>
          </w:tcPr>
          <w:p w14:paraId="0D8D1639" w14:textId="5FCEF36B" w:rsidR="00750051" w:rsidRPr="00C51E02" w:rsidRDefault="00750051" w:rsidP="00A416A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Dawkowanie paliwizumabu</w:t>
            </w:r>
          </w:p>
          <w:p w14:paraId="789A3729" w14:textId="77777777" w:rsidR="00750051" w:rsidRPr="00C51E02" w:rsidRDefault="00750051" w:rsidP="00A416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Lek podawany jest w dawce 15mg/kg masy ciała raz w miesiącu.</w:t>
            </w:r>
          </w:p>
        </w:tc>
        <w:tc>
          <w:tcPr>
            <w:tcW w:w="1373" w:type="pct"/>
          </w:tcPr>
          <w:p w14:paraId="4F431169" w14:textId="21CD3BEE" w:rsidR="00750051" w:rsidRPr="00C51E02" w:rsidRDefault="00750051" w:rsidP="00A416A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/>
              <w:ind w:right="6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Badania przy kwalifikacji</w:t>
            </w:r>
          </w:p>
          <w:p w14:paraId="5AFFCA2D" w14:textId="77777777" w:rsidR="00750051" w:rsidRPr="00C51E02" w:rsidRDefault="00750051" w:rsidP="00A416A6">
            <w:pPr>
              <w:autoSpaceDE w:val="0"/>
              <w:autoSpaceDN w:val="0"/>
              <w:adjustRightInd w:val="0"/>
              <w:spacing w:after="60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 xml:space="preserve">W przypadku kwalifikacji do leczenia paliwizumabem w oparciu o kryterium: </w:t>
            </w:r>
          </w:p>
          <w:p w14:paraId="21FC02CE" w14:textId="2CEFEE5E" w:rsidR="00750051" w:rsidRPr="00C51E02" w:rsidRDefault="00750051" w:rsidP="00A416A6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ind w:right="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dysplazja oskrzelowo-płucna: kliniczne potwierdzenie dysplazji oskrzelowo-płucnej;</w:t>
            </w:r>
          </w:p>
          <w:p w14:paraId="5C04663C" w14:textId="56388128" w:rsidR="00750051" w:rsidRPr="00C51E02" w:rsidRDefault="00750051" w:rsidP="00A416A6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ind w:right="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hemodynamicznie istotna wada serca: kliniczne potwierdzenie hemodynamicznie istotnej wady serca.</w:t>
            </w:r>
          </w:p>
          <w:p w14:paraId="2FD2FDFD" w14:textId="77777777" w:rsidR="00750051" w:rsidRPr="00C51E02" w:rsidRDefault="00750051" w:rsidP="00F43021">
            <w:pPr>
              <w:pStyle w:val="Akapitzlist"/>
              <w:autoSpaceDE w:val="0"/>
              <w:autoSpaceDN w:val="0"/>
              <w:adjustRightInd w:val="0"/>
              <w:spacing w:after="60"/>
              <w:ind w:left="856" w:right="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C66A5DB" w14:textId="69439F56" w:rsidR="00750051" w:rsidRPr="00C51E02" w:rsidRDefault="00750051" w:rsidP="00A416A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right="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leczenia</w:t>
            </w:r>
          </w:p>
          <w:p w14:paraId="18F59F53" w14:textId="77777777" w:rsidR="00750051" w:rsidRPr="00C51E02" w:rsidRDefault="00750051" w:rsidP="00A416A6">
            <w:pPr>
              <w:autoSpaceDE w:val="0"/>
              <w:autoSpaceDN w:val="0"/>
              <w:adjustRightInd w:val="0"/>
              <w:spacing w:after="60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Dzieci zakwalifikowane do leczenia paliwizumabem wymagają comiesięcznych wizyt w ośrodku realizującym program do końca sezonu zakażeń RSV celem oceny stanu ogólnego pacjenta (wywiad i badanie fizykalne) przed otrzymaniem kolejnej dawki leku.</w:t>
            </w:r>
          </w:p>
          <w:p w14:paraId="21EDE1AF" w14:textId="1BCDE66D" w:rsidR="00750051" w:rsidRPr="00C51E02" w:rsidRDefault="00750051" w:rsidP="00A416A6">
            <w:pPr>
              <w:autoSpaceDE w:val="0"/>
              <w:autoSpaceDN w:val="0"/>
              <w:adjustRightInd w:val="0"/>
              <w:spacing w:after="60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>Konsultant krajowy w dziedzinie neonatologii oraz kardiologii dziecięcej nadzorują program korzystając z elektronicznego systemu monitorowania programów lekowych (SMPT).</w:t>
            </w:r>
          </w:p>
          <w:p w14:paraId="450DA683" w14:textId="71CC2C5B" w:rsidR="002B25D8" w:rsidRPr="00C51E02" w:rsidRDefault="002B25D8" w:rsidP="00F43021">
            <w:pPr>
              <w:autoSpaceDE w:val="0"/>
              <w:autoSpaceDN w:val="0"/>
              <w:adjustRightInd w:val="0"/>
              <w:spacing w:after="60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F7C8B2" w14:textId="77777777" w:rsidR="00750051" w:rsidRPr="00C51E02" w:rsidRDefault="00750051" w:rsidP="00A416A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sz w:val="20"/>
                <w:szCs w:val="20"/>
              </w:rPr>
              <w:t>Monitorowanie programu</w:t>
            </w:r>
          </w:p>
          <w:p w14:paraId="65DB3180" w14:textId="77777777" w:rsidR="00750051" w:rsidRPr="00C51E02" w:rsidRDefault="00750051" w:rsidP="00A416A6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lastRenderedPageBreak/>
              <w:t>gromadzenie w dokumentacji medycznej pacjenta danych dotyczących monitorowania leczenia i każdorazowe ich przedstawienie na żądanie kontrolerów Narodowego Funduszu Zdrowia;</w:t>
            </w:r>
          </w:p>
          <w:p w14:paraId="2506D75D" w14:textId="5F76C3F4" w:rsidR="00750051" w:rsidRPr="00C51E02" w:rsidRDefault="00750051" w:rsidP="00A416A6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 xml:space="preserve">uzupełnianie danych zawartych w </w:t>
            </w:r>
            <w:r w:rsidR="00A416A6" w:rsidRPr="00C51E02">
              <w:rPr>
                <w:rFonts w:ascii="Times New Roman" w:hAnsi="Times New Roman"/>
                <w:sz w:val="20"/>
                <w:szCs w:val="20"/>
              </w:rPr>
              <w:t xml:space="preserve">elektronicznym systemie monitorowania programów lekowych </w:t>
            </w:r>
            <w:r w:rsidRPr="00C51E02">
              <w:rPr>
                <w:rFonts w:ascii="Times New Roman" w:hAnsi="Times New Roman"/>
                <w:sz w:val="20"/>
                <w:szCs w:val="20"/>
              </w:rPr>
              <w:t>(SMPT), dostępnym za pomocą aplikacji internetowej udostępnionej przez OW NFZ, z częstotliwością zgodną z opisem programu oraz na zakończenie leczenia;</w:t>
            </w:r>
          </w:p>
          <w:p w14:paraId="1280D8CA" w14:textId="204775A2" w:rsidR="00750051" w:rsidRPr="00C51E02" w:rsidRDefault="00750051" w:rsidP="00A416A6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sz w:val="20"/>
                <w:szCs w:val="20"/>
              </w:rPr>
              <w:t xml:space="preserve">przekazywanie informacji sprawozdawczo – rozliczeniowych do NFZ: informacje przekazuje się do NFZ w formie papierowej lub w formie elektronicznej, zgodnie z wymaganiami opublikowanymi przez </w:t>
            </w:r>
            <w:r w:rsidR="002B25D8" w:rsidRPr="00C51E02">
              <w:rPr>
                <w:rFonts w:ascii="Times New Roman" w:hAnsi="Times New Roman"/>
                <w:sz w:val="20"/>
                <w:szCs w:val="20"/>
              </w:rPr>
              <w:t>NFZ</w:t>
            </w:r>
            <w:r w:rsidRPr="00C51E02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09743A" w14:textId="77777777" w:rsidR="00750051" w:rsidRPr="00A416A6" w:rsidRDefault="00750051" w:rsidP="00F43021">
            <w:pPr>
              <w:autoSpaceDE w:val="0"/>
              <w:autoSpaceDN w:val="0"/>
              <w:adjustRightInd w:val="0"/>
              <w:spacing w:after="60"/>
              <w:ind w:left="356" w:right="7" w:hanging="35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9140D0B" w14:textId="77777777" w:rsidR="00916BEC" w:rsidRPr="00A416A6" w:rsidRDefault="00916BEC">
      <w:pPr>
        <w:rPr>
          <w:rFonts w:ascii="Times New Roman" w:hAnsi="Times New Roman"/>
        </w:rPr>
      </w:pPr>
    </w:p>
    <w:sectPr w:rsidR="00916BEC" w:rsidRPr="00A416A6" w:rsidSect="00126B1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61F86" w14:textId="77777777" w:rsidR="00E63377" w:rsidRDefault="00E63377" w:rsidP="00126B11">
      <w:pPr>
        <w:spacing w:after="0" w:line="240" w:lineRule="auto"/>
      </w:pPr>
      <w:r>
        <w:separator/>
      </w:r>
    </w:p>
  </w:endnote>
  <w:endnote w:type="continuationSeparator" w:id="0">
    <w:p w14:paraId="1CD9A6F8" w14:textId="77777777" w:rsidR="00E63377" w:rsidRDefault="00E63377" w:rsidP="00126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6D430" w14:textId="77777777" w:rsidR="00E63377" w:rsidRDefault="00E63377" w:rsidP="00126B11">
      <w:pPr>
        <w:spacing w:after="0" w:line="240" w:lineRule="auto"/>
      </w:pPr>
      <w:r>
        <w:separator/>
      </w:r>
    </w:p>
  </w:footnote>
  <w:footnote w:type="continuationSeparator" w:id="0">
    <w:p w14:paraId="4C22E760" w14:textId="77777777" w:rsidR="00E63377" w:rsidRDefault="00E63377" w:rsidP="00126B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124A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E051AC5"/>
    <w:multiLevelType w:val="multilevel"/>
    <w:tmpl w:val="A676A53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945F3F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CA778E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213521D"/>
    <w:multiLevelType w:val="hybridMultilevel"/>
    <w:tmpl w:val="4C5E2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17D78"/>
    <w:multiLevelType w:val="hybridMultilevel"/>
    <w:tmpl w:val="4C5E2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D7416"/>
    <w:multiLevelType w:val="multilevel"/>
    <w:tmpl w:val="59FEDA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BB613A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60363574"/>
    <w:multiLevelType w:val="hybridMultilevel"/>
    <w:tmpl w:val="61BA7070"/>
    <w:lvl w:ilvl="0" w:tplc="FC643E4C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63FE4326"/>
    <w:multiLevelType w:val="hybridMultilevel"/>
    <w:tmpl w:val="E5768ACE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66DFF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68CE6680"/>
    <w:multiLevelType w:val="hybridMultilevel"/>
    <w:tmpl w:val="B4EEBB7A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09001B">
      <w:start w:val="1"/>
      <w:numFmt w:val="lowerRoman"/>
      <w:lvlText w:val="%2."/>
      <w:lvlJc w:val="right"/>
      <w:pPr>
        <w:ind w:left="1890" w:hanging="360"/>
      </w:pPr>
    </w:lvl>
    <w:lvl w:ilvl="2" w:tplc="04090001">
      <w:start w:val="1"/>
      <w:numFmt w:val="bullet"/>
      <w:lvlText w:val=""/>
      <w:lvlJc w:val="left"/>
      <w:pPr>
        <w:ind w:left="261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330" w:hanging="360"/>
      </w:pPr>
    </w:lvl>
    <w:lvl w:ilvl="4" w:tplc="04150019">
      <w:start w:val="1"/>
      <w:numFmt w:val="lowerLetter"/>
      <w:lvlText w:val="%5."/>
      <w:lvlJc w:val="left"/>
      <w:pPr>
        <w:ind w:left="4050" w:hanging="360"/>
      </w:pPr>
    </w:lvl>
    <w:lvl w:ilvl="5" w:tplc="0415001B">
      <w:start w:val="1"/>
      <w:numFmt w:val="lowerRoman"/>
      <w:lvlText w:val="%6."/>
      <w:lvlJc w:val="right"/>
      <w:pPr>
        <w:ind w:left="4770" w:hanging="180"/>
      </w:pPr>
    </w:lvl>
    <w:lvl w:ilvl="6" w:tplc="0415000F">
      <w:start w:val="1"/>
      <w:numFmt w:val="decimal"/>
      <w:lvlText w:val="%7."/>
      <w:lvlJc w:val="left"/>
      <w:pPr>
        <w:ind w:left="5490" w:hanging="360"/>
      </w:pPr>
    </w:lvl>
    <w:lvl w:ilvl="7" w:tplc="04150019">
      <w:start w:val="1"/>
      <w:numFmt w:val="lowerLetter"/>
      <w:lvlText w:val="%8."/>
      <w:lvlJc w:val="left"/>
      <w:pPr>
        <w:ind w:left="6210" w:hanging="360"/>
      </w:pPr>
    </w:lvl>
    <w:lvl w:ilvl="8" w:tplc="0415001B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79893FB0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64384108">
    <w:abstractNumId w:val="11"/>
  </w:num>
  <w:num w:numId="2" w16cid:durableId="355354962">
    <w:abstractNumId w:val="5"/>
  </w:num>
  <w:num w:numId="3" w16cid:durableId="152110853">
    <w:abstractNumId w:val="4"/>
  </w:num>
  <w:num w:numId="4" w16cid:durableId="157352635">
    <w:abstractNumId w:val="9"/>
  </w:num>
  <w:num w:numId="5" w16cid:durableId="1946688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19788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3877838">
    <w:abstractNumId w:val="3"/>
  </w:num>
  <w:num w:numId="8" w16cid:durableId="1835220325">
    <w:abstractNumId w:val="8"/>
  </w:num>
  <w:num w:numId="9" w16cid:durableId="780803904">
    <w:abstractNumId w:val="7"/>
  </w:num>
  <w:num w:numId="10" w16cid:durableId="1239241945">
    <w:abstractNumId w:val="2"/>
  </w:num>
  <w:num w:numId="11" w16cid:durableId="215898234">
    <w:abstractNumId w:val="0"/>
  </w:num>
  <w:num w:numId="12" w16cid:durableId="430588922">
    <w:abstractNumId w:val="10"/>
  </w:num>
  <w:num w:numId="13" w16cid:durableId="203164127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070"/>
    <w:rsid w:val="0001715A"/>
    <w:rsid w:val="00034B25"/>
    <w:rsid w:val="00095945"/>
    <w:rsid w:val="000F7AAB"/>
    <w:rsid w:val="00126B11"/>
    <w:rsid w:val="00226B76"/>
    <w:rsid w:val="0027640D"/>
    <w:rsid w:val="002B25D8"/>
    <w:rsid w:val="003278ED"/>
    <w:rsid w:val="00750051"/>
    <w:rsid w:val="007D4A1A"/>
    <w:rsid w:val="008078A7"/>
    <w:rsid w:val="0081206F"/>
    <w:rsid w:val="00852EE1"/>
    <w:rsid w:val="00916BEC"/>
    <w:rsid w:val="009227DF"/>
    <w:rsid w:val="00A40451"/>
    <w:rsid w:val="00A416A6"/>
    <w:rsid w:val="00B05317"/>
    <w:rsid w:val="00B10F73"/>
    <w:rsid w:val="00BC524B"/>
    <w:rsid w:val="00C51E02"/>
    <w:rsid w:val="00CE325D"/>
    <w:rsid w:val="00CF37A1"/>
    <w:rsid w:val="00D61070"/>
    <w:rsid w:val="00E63377"/>
    <w:rsid w:val="00F4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6FC3E"/>
  <w15:chartTrackingRefBased/>
  <w15:docId w15:val="{F579166F-E877-4EB9-826B-72437360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07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10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6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B1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B11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227DF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5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2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24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2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24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629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Morawiec Wioleta</dc:creator>
  <cp:keywords/>
  <dc:description/>
  <cp:lastModifiedBy>Królak-Buzakowska Joanna</cp:lastModifiedBy>
  <cp:revision>5</cp:revision>
  <dcterms:created xsi:type="dcterms:W3CDTF">2023-01-30T11:40:00Z</dcterms:created>
  <dcterms:modified xsi:type="dcterms:W3CDTF">2023-02-08T17:02:00Z</dcterms:modified>
</cp:coreProperties>
</file>